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1" w:rsidRDefault="00604EC2" w:rsidP="00604EC2">
      <w:pPr>
        <w:pStyle w:val="Normlnweb"/>
        <w:rPr>
          <w:rFonts w:ascii="Tahoma" w:hAnsi="Tahoma" w:cs="Tahoma"/>
          <w:color w:val="000000"/>
          <w:sz w:val="20"/>
          <w:szCs w:val="20"/>
        </w:rPr>
      </w:pPr>
      <w:r w:rsidRPr="00033301">
        <w:rPr>
          <w:rFonts w:ascii="Tahoma" w:hAnsi="Tahoma" w:cs="Tahoma"/>
          <w:b/>
          <w:color w:val="000000"/>
          <w:sz w:val="20"/>
          <w:szCs w:val="20"/>
          <w:highlight w:val="yellow"/>
          <w:u w:val="single"/>
        </w:rPr>
        <w:t>Špecializované kurzy: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D76A67">
        <w:rPr>
          <w:rFonts w:ascii="Tahoma" w:hAnsi="Tahoma" w:cs="Tahoma"/>
          <w:b/>
          <w:bCs/>
          <w:color w:val="000000"/>
          <w:sz w:val="20"/>
          <w:szCs w:val="20"/>
          <w:highlight w:val="yellow"/>
          <w:u w:val="single"/>
        </w:rPr>
        <w:t>Odborné a rekvalifikačné kurzy – podnikanie a manažment</w:t>
      </w:r>
      <w:r w:rsidRPr="00D76A67">
        <w:rPr>
          <w:rFonts w:ascii="Tahoma" w:hAnsi="Tahoma" w:cs="Tahoma"/>
          <w:color w:val="000000"/>
          <w:sz w:val="20"/>
          <w:szCs w:val="20"/>
          <w:highlight w:val="yellow"/>
        </w:rPr>
        <w:t>:</w:t>
      </w:r>
    </w:p>
    <w:p w:rsidR="00033301" w:rsidRDefault="00D655DD" w:rsidP="00604EC2">
      <w:pPr>
        <w:pStyle w:val="Normlnweb"/>
        <w:rPr>
          <w:rFonts w:ascii="Tahoma" w:hAnsi="Tahoma" w:cs="Tahoma"/>
          <w:b/>
          <w:bCs/>
          <w:color w:val="000000"/>
          <w:sz w:val="20"/>
          <w:szCs w:val="20"/>
          <w:highlight w:val="yellow"/>
          <w:u w:val="single"/>
        </w:rPr>
      </w:pPr>
      <w:hyperlink r:id="rId4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1" name="obrázek 1" descr="http://www.tazvolen.sk/images/ikona_word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Základy ekonomiky a ekonómie pre podnikateľov</w:t>
      </w:r>
      <w:hyperlink r:id="rId7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2" name="obrázek 2" descr="http://www.tazvolen.sk/images/ikona_word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Manažment firmy a manažérske zručnosti pre podnikateľov</w:t>
      </w:r>
      <w:hyperlink r:id="rId9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3" name="obrázek 3" descr="http://www.tazvolen.sk/images/ikona_word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Marketing a marketingové zručnosti pre podnikateľov</w:t>
      </w:r>
      <w:hyperlink r:id="rId11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4" name="obrázek 4" descr="http://www.tazvolen.sk/images/ikona_word.jp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Základy finančného riadenia podniku pre podnikateľov</w:t>
      </w:r>
      <w:hyperlink r:id="rId13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5" name="obrázek 5" descr="http://www.tazvolen.sk/images/ikona_word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Jednoduché účtovníctvo pre podnikateľov</w:t>
      </w:r>
      <w:hyperlink r:id="rId15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6" name="obrázek 6" descr="http://www.tazvolen.sk/images/ikona_word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Podvojné účtovníctvo a účtovníctvo na PC pre podnikateľov</w:t>
      </w:r>
      <w:hyperlink r:id="rId17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7" name="obrázek 7" descr="http://www.tazvolen.sk/images/ikona_word.jp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Hospodárska korešpondencia </w:t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v praxi</w:t>
      </w:r>
      <w:hyperlink r:id="rId19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8" name="obrázek 8" descr="http://www.tazvolen.sk/images/ikona_word.jpg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Základy podnikateľského práva a daňové minimum pre podnikateľov</w:t>
      </w:r>
      <w:hyperlink r:id="rId21" w:history="1">
        <w:r w:rsidR="00604EC2">
          <w:rPr>
            <w:rFonts w:ascii="Tahoma" w:hAnsi="Tahoma" w:cs="Tahoma"/>
            <w:color w:val="FFCC00"/>
            <w:sz w:val="20"/>
            <w:szCs w:val="20"/>
          </w:rPr>
          <w:br/>
        </w:r>
      </w:hyperlink>
      <w:r w:rsidR="00604EC2">
        <w:rPr>
          <w:rFonts w:ascii="Tahoma" w:hAnsi="Tahoma" w:cs="Tahoma"/>
          <w:noProof/>
          <w:color w:val="FFCC00"/>
          <w:sz w:val="20"/>
          <w:szCs w:val="20"/>
        </w:rPr>
        <w:drawing>
          <wp:inline distT="0" distB="0" distL="0" distR="0">
            <wp:extent cx="238125" cy="219075"/>
            <wp:effectExtent l="19050" t="0" r="9525" b="0"/>
            <wp:docPr id="9" name="obrázek 9" descr="http://www.tazvolen.sk/images/ikona_word.jpg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azvolen.sk/images/ikona_wor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EC2"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 w:rsidR="00604EC2">
        <w:rPr>
          <w:rFonts w:ascii="Tahoma" w:hAnsi="Tahoma" w:cs="Tahoma"/>
          <w:color w:val="000000"/>
          <w:sz w:val="20"/>
          <w:szCs w:val="20"/>
        </w:rPr>
        <w:t>- Podnikanie v malej a strednej firme (podmienka je absolvovanie všetkých modulov)</w:t>
      </w:r>
      <w:r w:rsidR="00604EC2">
        <w:rPr>
          <w:rFonts w:ascii="Tahoma" w:hAnsi="Tahoma" w:cs="Tahoma"/>
          <w:color w:val="000000"/>
          <w:sz w:val="20"/>
          <w:szCs w:val="20"/>
        </w:rPr>
        <w:br/>
      </w:r>
      <w:r w:rsidR="00604EC2">
        <w:rPr>
          <w:rFonts w:ascii="Tahoma" w:hAnsi="Tahoma" w:cs="Tahoma"/>
          <w:color w:val="000000"/>
          <w:sz w:val="20"/>
          <w:szCs w:val="20"/>
        </w:rPr>
        <w:br/>
      </w:r>
    </w:p>
    <w:p w:rsidR="00033301" w:rsidRPr="00033301" w:rsidRDefault="00604EC2" w:rsidP="00A51715">
      <w:pPr>
        <w:pStyle w:val="Normlnweb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D76A67">
        <w:rPr>
          <w:rFonts w:ascii="Tahoma" w:hAnsi="Tahoma" w:cs="Tahoma"/>
          <w:b/>
          <w:bCs/>
          <w:color w:val="000000"/>
          <w:sz w:val="20"/>
          <w:szCs w:val="20"/>
          <w:highlight w:val="yellow"/>
          <w:u w:val="single"/>
        </w:rPr>
        <w:t>Ostatné odborné a rekvalifikačné kurzy:</w:t>
      </w:r>
      <w:r>
        <w:rPr>
          <w:rFonts w:ascii="Tahoma" w:hAnsi="Tahoma" w:cs="Tahoma"/>
          <w:color w:val="000000"/>
          <w:sz w:val="20"/>
          <w:szCs w:val="20"/>
        </w:rPr>
        <w:br/>
        <w:t>- Základy pr</w:t>
      </w:r>
      <w:r w:rsidR="00D76A67">
        <w:rPr>
          <w:rFonts w:ascii="Tahoma" w:hAnsi="Tahoma" w:cs="Tahoma"/>
          <w:color w:val="000000"/>
          <w:sz w:val="20"/>
          <w:szCs w:val="20"/>
        </w:rPr>
        <w:t>áce s PC</w:t>
      </w:r>
      <w:r>
        <w:rPr>
          <w:rFonts w:ascii="Tahoma" w:hAnsi="Tahoma" w:cs="Tahoma"/>
          <w:color w:val="000000"/>
          <w:sz w:val="20"/>
          <w:szCs w:val="20"/>
        </w:rPr>
        <w:br/>
        <w:t>- Využitie PC v konštruovaní (CAD systémy)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- Elektromechanik – elektrotechnická kvalifikácia § 21 elektrotechnik podľa vyhlášky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MPSVaR</w:t>
      </w:r>
      <w:proofErr w:type="spellEnd"/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č. 718/2002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Z.z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v znení neskorších predpisov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</w:p>
    <w:p w:rsidR="00604EC2" w:rsidRPr="00033301" w:rsidRDefault="00D76A67" w:rsidP="00A51715">
      <w:pPr>
        <w:pStyle w:val="Normlnweb"/>
        <w:spacing w:line="36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  <w:t>A</w:t>
      </w:r>
      <w:r w:rsidR="00604EC2" w:rsidRPr="00604EC2"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  <w:t>akreditované</w:t>
      </w:r>
      <w:proofErr w:type="spellEnd"/>
      <w:r w:rsidR="00604EC2" w:rsidRPr="00604EC2">
        <w:rPr>
          <w:rFonts w:ascii="Tahoma" w:hAnsi="Tahoma" w:cs="Tahoma"/>
          <w:b/>
          <w:bCs/>
          <w:color w:val="000000"/>
          <w:sz w:val="20"/>
          <w:szCs w:val="20"/>
          <w:highlight w:val="yellow"/>
        </w:rPr>
        <w:t xml:space="preserve"> a neakreditované špecializované kurzy :</w:t>
      </w:r>
      <w:r w:rsidR="00604EC2">
        <w:rPr>
          <w:rFonts w:ascii="Tahoma" w:hAnsi="Tahoma" w:cs="Tahoma"/>
          <w:color w:val="000000"/>
          <w:sz w:val="20"/>
          <w:szCs w:val="20"/>
        </w:rPr>
        <w:br/>
        <w:t>- Účtovníctvo a</w:t>
      </w:r>
      <w:r>
        <w:rPr>
          <w:rFonts w:ascii="Tahoma" w:hAnsi="Tahoma" w:cs="Tahoma"/>
          <w:color w:val="000000"/>
          <w:sz w:val="20"/>
          <w:szCs w:val="20"/>
        </w:rPr>
        <w:t xml:space="preserve"> finančný</w:t>
      </w:r>
      <w:r w:rsidR="00604EC2">
        <w:rPr>
          <w:rFonts w:ascii="Tahoma" w:hAnsi="Tahoma" w:cs="Tahoma"/>
          <w:color w:val="000000"/>
          <w:sz w:val="20"/>
          <w:szCs w:val="20"/>
        </w:rPr>
        <w:t xml:space="preserve"> manažment </w:t>
      </w:r>
      <w:r>
        <w:rPr>
          <w:rFonts w:ascii="Tahoma" w:hAnsi="Tahoma" w:cs="Tahoma"/>
          <w:color w:val="000000"/>
          <w:sz w:val="20"/>
          <w:szCs w:val="20"/>
        </w:rPr>
        <w:t>malých a stredných firiem</w:t>
      </w:r>
      <w:r w:rsidR="00604EC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04EC2">
        <w:rPr>
          <w:rFonts w:ascii="Tahoma" w:hAnsi="Tahoma" w:cs="Tahoma"/>
          <w:color w:val="000000"/>
          <w:sz w:val="20"/>
          <w:szCs w:val="20"/>
        </w:rPr>
        <w:br/>
        <w:t>- Základy podnikateľského práva, finančného riadenia a daňové minimum pre podnikateľov</w:t>
      </w:r>
      <w:r w:rsidR="00604EC2">
        <w:rPr>
          <w:rFonts w:ascii="Tahoma" w:hAnsi="Tahoma" w:cs="Tahoma"/>
          <w:color w:val="000000"/>
          <w:sz w:val="20"/>
          <w:szCs w:val="20"/>
        </w:rPr>
        <w:br/>
        <w:t>- Podnikanie v malej a strednej firme (absolvovanie 8 odborných modulov)</w:t>
      </w:r>
      <w:r w:rsidR="00604EC2">
        <w:rPr>
          <w:rFonts w:ascii="Tahoma" w:hAnsi="Tahoma" w:cs="Tahoma"/>
          <w:color w:val="000000"/>
          <w:sz w:val="20"/>
          <w:szCs w:val="20"/>
        </w:rPr>
        <w:br/>
      </w:r>
      <w:r w:rsidR="00604EC2">
        <w:rPr>
          <w:rFonts w:ascii="Tahoma" w:hAnsi="Tahoma" w:cs="Tahoma"/>
          <w:color w:val="000000"/>
          <w:sz w:val="20"/>
          <w:szCs w:val="20"/>
        </w:rPr>
        <w:br/>
      </w:r>
    </w:p>
    <w:p w:rsidR="00604EC2" w:rsidRDefault="00604EC2" w:rsidP="00574E2E">
      <w:pPr>
        <w:pStyle w:val="Normlnweb"/>
        <w:rPr>
          <w:color w:val="000000"/>
          <w:sz w:val="27"/>
          <w:szCs w:val="27"/>
        </w:rPr>
      </w:pPr>
      <w:r>
        <w:rPr>
          <w:noProof/>
          <w:color w:val="FFCC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90500" cy="190500"/>
            <wp:effectExtent l="19050" t="0" r="0" b="0"/>
            <wp:wrapSquare wrapText="bothSides"/>
            <wp:docPr id="10" name="obrázek 10" descr="http://www.tazvolen.sk/images/sipka.jpg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azvolen.sk/images/sipka.jpg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E2E">
        <w:rPr>
          <w:color w:val="000000"/>
          <w:sz w:val="27"/>
          <w:szCs w:val="27"/>
        </w:rPr>
        <w:br w:type="textWrapping" w:clear="all"/>
      </w:r>
      <w:r w:rsidR="00574E2E" w:rsidRPr="00574E2E">
        <w:rPr>
          <w:b/>
          <w:color w:val="000000"/>
          <w:sz w:val="27"/>
          <w:szCs w:val="27"/>
        </w:rPr>
        <w:t>Informácie :</w:t>
      </w:r>
      <w:r w:rsidR="00574E2E">
        <w:rPr>
          <w:color w:val="000000"/>
          <w:sz w:val="27"/>
          <w:szCs w:val="27"/>
        </w:rPr>
        <w:t xml:space="preserve">   </w:t>
      </w:r>
      <w:r w:rsidR="00375E18">
        <w:rPr>
          <w:color w:val="000000"/>
          <w:sz w:val="27"/>
          <w:szCs w:val="27"/>
        </w:rPr>
        <w:t xml:space="preserve"> </w:t>
      </w:r>
      <w:proofErr w:type="spellStart"/>
      <w:r w:rsidR="00574E2E" w:rsidRPr="00574E2E">
        <w:rPr>
          <w:rStyle w:val="Nadpis2Char"/>
        </w:rPr>
        <w:t>Ing.Mgr.Peter</w:t>
      </w:r>
      <w:proofErr w:type="spellEnd"/>
      <w:r w:rsidR="00574E2E" w:rsidRPr="00574E2E">
        <w:rPr>
          <w:rStyle w:val="Nadpis2Char"/>
        </w:rPr>
        <w:t xml:space="preserve"> </w:t>
      </w:r>
      <w:proofErr w:type="spellStart"/>
      <w:r w:rsidR="00574E2E" w:rsidRPr="00574E2E">
        <w:rPr>
          <w:rStyle w:val="Nadpis2Char"/>
        </w:rPr>
        <w:t>Gábor</w:t>
      </w:r>
      <w:proofErr w:type="spellEnd"/>
      <w:r w:rsidR="00574E2E" w:rsidRPr="00574E2E">
        <w:rPr>
          <w:rStyle w:val="Nadpis2Char"/>
        </w:rPr>
        <w:t xml:space="preserve">  0950425273</w:t>
      </w:r>
    </w:p>
    <w:p w:rsidR="00604EC2" w:rsidRDefault="00604EC2" w:rsidP="00574E2E">
      <w:pPr>
        <w:pStyle w:val="Normlnweb"/>
        <w:tabs>
          <w:tab w:val="left" w:pos="1680"/>
        </w:tabs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  <w:r w:rsidR="00574E2E">
        <w:rPr>
          <w:rFonts w:ascii="Verdana" w:hAnsi="Verdana"/>
          <w:color w:val="000000"/>
          <w:sz w:val="27"/>
          <w:szCs w:val="27"/>
        </w:rPr>
        <w:tab/>
      </w:r>
      <w:hyperlink r:id="rId25" w:history="1">
        <w:r w:rsidR="00574E2E" w:rsidRPr="0077455F">
          <w:rPr>
            <w:rStyle w:val="Hypertextovodkaz"/>
            <w:rFonts w:ascii="Verdana" w:hAnsi="Verdana"/>
            <w:sz w:val="27"/>
            <w:szCs w:val="27"/>
          </w:rPr>
          <w:t>gabor@tazvolen.sk</w:t>
        </w:r>
      </w:hyperlink>
    </w:p>
    <w:p w:rsidR="00574E2E" w:rsidRPr="00574E2E" w:rsidRDefault="00574E2E" w:rsidP="00574E2E">
      <w:pPr>
        <w:pStyle w:val="Normlnweb"/>
        <w:tabs>
          <w:tab w:val="left" w:pos="1680"/>
        </w:tabs>
        <w:rPr>
          <w:color w:val="000000"/>
          <w:sz w:val="27"/>
          <w:szCs w:val="27"/>
          <w:lang w:val="en-US"/>
        </w:rPr>
      </w:pPr>
    </w:p>
    <w:p w:rsidR="001E645D" w:rsidRDefault="001E645D"/>
    <w:sectPr w:rsidR="001E645D" w:rsidSect="003C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4EC2"/>
    <w:rsid w:val="00033301"/>
    <w:rsid w:val="001E645D"/>
    <w:rsid w:val="00375E18"/>
    <w:rsid w:val="003C4335"/>
    <w:rsid w:val="00574E2E"/>
    <w:rsid w:val="00604EC2"/>
    <w:rsid w:val="00A51715"/>
    <w:rsid w:val="00D655DD"/>
    <w:rsid w:val="00D7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3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4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04EC2"/>
  </w:style>
  <w:style w:type="paragraph" w:styleId="Textbubliny">
    <w:name w:val="Balloon Text"/>
    <w:basedOn w:val="Normln"/>
    <w:link w:val="TextbublinyChar"/>
    <w:uiPriority w:val="99"/>
    <w:semiHidden/>
    <w:unhideWhenUsed/>
    <w:rsid w:val="0060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E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74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574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zvolen.sk/dokumenty/gabor/odb-rekv-kurz-podn-manazment/man-firmy-a-man-zruc-pre-podnikatelov.doc" TargetMode="External"/><Relationship Id="rId13" Type="http://schemas.openxmlformats.org/officeDocument/2006/relationships/hyperlink" Target="http://sost.sk/ork-podn-manaz.htm" TargetMode="External"/><Relationship Id="rId18" Type="http://schemas.openxmlformats.org/officeDocument/2006/relationships/hyperlink" Target="http://www.tazvolen.sk/dokumenty/gabor/odb-rekv-kurz-podn-manazment/hosp-koresp-v-praxi.do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ost.sk/ork-podn-manaz.htm" TargetMode="External"/><Relationship Id="rId7" Type="http://schemas.openxmlformats.org/officeDocument/2006/relationships/hyperlink" Target="http://sost.sk/ork-podn-manaz.htm" TargetMode="External"/><Relationship Id="rId12" Type="http://schemas.openxmlformats.org/officeDocument/2006/relationships/hyperlink" Target="http://www.tazvolen.sk/dokumenty/gabor/odb-rekv-kurz-podn-manazment/zakl-finan-riadenia-pre-podnikatelov.doc" TargetMode="External"/><Relationship Id="rId17" Type="http://schemas.openxmlformats.org/officeDocument/2006/relationships/hyperlink" Target="http://sost.sk/ork-podn-manaz.htm" TargetMode="External"/><Relationship Id="rId25" Type="http://schemas.openxmlformats.org/officeDocument/2006/relationships/hyperlink" Target="mailto:gabor@tazvolen.s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azvolen.sk/dokumenty/gabor/odb-rekv-kurz-podn-manazment/podvoj-uct-a-uct-na-pc-pre-podnikatelov.rtf" TargetMode="External"/><Relationship Id="rId20" Type="http://schemas.openxmlformats.org/officeDocument/2006/relationships/hyperlink" Target="http://www.tazvolen.sk/dokumenty/gabor/odb-rekv-kurz-podn-manazment/zakl-podn-prava-a-dan-min-pre-podnikatelov.rt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ost.sk/ork-podn-manaz.htm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://www.tazvolen.sk/dokumenty/gabor/odb-rekv-kurz-podn-manazment/zakl-eko-pre-podnikatelov.rtf" TargetMode="External"/><Relationship Id="rId15" Type="http://schemas.openxmlformats.org/officeDocument/2006/relationships/hyperlink" Target="http://sost.sk/ork-podn-manaz.htm" TargetMode="External"/><Relationship Id="rId23" Type="http://schemas.openxmlformats.org/officeDocument/2006/relationships/hyperlink" Target="http://www.tazvolen.sk/ref_projekt.htm" TargetMode="External"/><Relationship Id="rId10" Type="http://schemas.openxmlformats.org/officeDocument/2006/relationships/hyperlink" Target="http://www.tazvolen.sk/dokumenty/gabor/odb-rekv-kurz-podn-manazment/mark-a-mark-zruc-pre-podnikatelov.doc" TargetMode="External"/><Relationship Id="rId19" Type="http://schemas.openxmlformats.org/officeDocument/2006/relationships/hyperlink" Target="http://sost.sk/ork-podn-manaz.htm" TargetMode="External"/><Relationship Id="rId4" Type="http://schemas.openxmlformats.org/officeDocument/2006/relationships/hyperlink" Target="http://sost.sk/ork-podn-manaz.htm" TargetMode="External"/><Relationship Id="rId9" Type="http://schemas.openxmlformats.org/officeDocument/2006/relationships/hyperlink" Target="http://sost.sk/ork-podn-manaz.htm" TargetMode="External"/><Relationship Id="rId14" Type="http://schemas.openxmlformats.org/officeDocument/2006/relationships/hyperlink" Target="http://www.tazvolen.sk/dokumenty/gabor/odb-rekv-kurz-podn-manazment/jedn-uct-pre-podnikatelov.rtf" TargetMode="External"/><Relationship Id="rId22" Type="http://schemas.openxmlformats.org/officeDocument/2006/relationships/hyperlink" Target="http://www.tazvolen.sk/dokumenty/gabor/odb-rekv-kurz-podn-manazment/podnikanie-v-malej-a-strednej-firme.rt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PeterGabor</dc:creator>
  <cp:keywords/>
  <dc:description/>
  <cp:lastModifiedBy>PeterGabor</cp:lastModifiedBy>
  <cp:revision>6</cp:revision>
  <dcterms:created xsi:type="dcterms:W3CDTF">2016-02-22T09:12:00Z</dcterms:created>
  <dcterms:modified xsi:type="dcterms:W3CDTF">2016-02-26T11:34:00Z</dcterms:modified>
</cp:coreProperties>
</file>